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1274" w:rsidRDefault="00591274" w:rsidP="00591274">
      <w:pPr>
        <w:pStyle w:val="NoSpacing"/>
        <w:jc w:val="center"/>
        <w:rPr>
          <w:rStyle w:val="Heading1Char"/>
          <w:bCs w:val="0"/>
          <w:color w:val="1F497D"/>
          <w:u w:val="single"/>
        </w:rPr>
      </w:pPr>
      <w:bookmarkStart w:id="0" w:name="p1"/>
      <w:bookmarkStart w:id="1" w:name="_GoBack"/>
      <w:bookmarkEnd w:id="1"/>
      <w:r w:rsidRPr="00B30B1F">
        <w:rPr>
          <w:rStyle w:val="Heading1Char"/>
          <w:bCs w:val="0"/>
          <w:color w:val="1F497D"/>
          <w:u w:val="single"/>
        </w:rPr>
        <w:t>Technical information sheet for the proposed SDG indicator</w:t>
      </w:r>
    </w:p>
    <w:p w:rsidR="00201EEB" w:rsidRPr="00B30B1F" w:rsidRDefault="00201EEB" w:rsidP="00591274">
      <w:pPr>
        <w:pStyle w:val="NoSpacing"/>
        <w:jc w:val="center"/>
        <w:rPr>
          <w:rStyle w:val="Heading1Char"/>
          <w:bCs w:val="0"/>
          <w:color w:val="1F497D"/>
          <w:u w:val="single"/>
        </w:rPr>
      </w:pPr>
      <w:r>
        <w:rPr>
          <w:rStyle w:val="Heading1Char"/>
          <w:bCs w:val="0"/>
          <w:color w:val="1F497D"/>
          <w:u w:val="single"/>
        </w:rPr>
        <w:t>for Target 3.8</w:t>
      </w:r>
    </w:p>
    <w:p w:rsidR="00591274" w:rsidRPr="002A3BD5" w:rsidRDefault="00591274" w:rsidP="00591274">
      <w:pPr>
        <w:pStyle w:val="NoSpacing"/>
        <w:jc w:val="center"/>
        <w:rPr>
          <w:rStyle w:val="Heading1Char"/>
          <w:bCs w:val="0"/>
          <w:color w:val="1F497D"/>
          <w:sz w:val="24"/>
        </w:rPr>
      </w:pPr>
    </w:p>
    <w:p w:rsidR="00591274" w:rsidRPr="002A3BD5" w:rsidRDefault="00591274" w:rsidP="00591274">
      <w:pPr>
        <w:pStyle w:val="NoSpacing"/>
        <w:rPr>
          <w:rStyle w:val="Heading1Char"/>
          <w:b w:val="0"/>
          <w:bCs w:val="0"/>
          <w:color w:val="1F497D"/>
          <w:sz w:val="24"/>
        </w:rPr>
      </w:pPr>
      <w:r w:rsidRPr="002A3BD5">
        <w:rPr>
          <w:rStyle w:val="Heading1Char"/>
          <w:bCs w:val="0"/>
          <w:color w:val="1F497D"/>
          <w:sz w:val="24"/>
          <w:u w:val="single"/>
        </w:rPr>
        <w:t>Indicator:</w:t>
      </w:r>
      <w:r w:rsidRPr="002A3BD5">
        <w:rPr>
          <w:rStyle w:val="Heading1Char"/>
          <w:bCs w:val="0"/>
          <w:color w:val="1F497D"/>
          <w:sz w:val="24"/>
        </w:rPr>
        <w:t xml:space="preserve"> </w:t>
      </w:r>
    </w:p>
    <w:p w:rsidR="00591274" w:rsidRPr="00B30B1F" w:rsidRDefault="008F0481" w:rsidP="00591274">
      <w:pPr>
        <w:pStyle w:val="NoSpacing"/>
        <w:jc w:val="both"/>
        <w:rPr>
          <w:rFonts w:eastAsia="Times New Roman"/>
          <w:b/>
          <w:bCs/>
          <w:lang w:eastAsia="en-GB"/>
        </w:rPr>
      </w:pPr>
      <w:r w:rsidRPr="008F0481">
        <w:t>Adults who personally paid for health insurance</w:t>
      </w:r>
    </w:p>
    <w:p w:rsidR="00591274" w:rsidRPr="00B30B1F" w:rsidRDefault="00591274" w:rsidP="00591274">
      <w:pPr>
        <w:pStyle w:val="NoSpacing"/>
        <w:jc w:val="both"/>
        <w:rPr>
          <w:rFonts w:eastAsia="Times New Roman"/>
          <w:b/>
          <w:bCs/>
          <w:lang w:eastAsia="en-GB"/>
        </w:rPr>
      </w:pPr>
    </w:p>
    <w:p w:rsidR="00591274" w:rsidRPr="002A3BD5" w:rsidRDefault="00591274" w:rsidP="00591274">
      <w:pPr>
        <w:pStyle w:val="NoSpacing"/>
        <w:jc w:val="both"/>
        <w:rPr>
          <w:rStyle w:val="Heading1Char"/>
          <w:sz w:val="24"/>
          <w:u w:val="single"/>
        </w:rPr>
      </w:pPr>
      <w:r w:rsidRPr="002A3BD5">
        <w:rPr>
          <w:rStyle w:val="Heading1Char"/>
          <w:sz w:val="24"/>
          <w:u w:val="single"/>
        </w:rPr>
        <w:t xml:space="preserve">Goal and Target Addressed </w:t>
      </w:r>
      <w:bookmarkEnd w:id="0"/>
    </w:p>
    <w:p w:rsidR="00591274" w:rsidRPr="00B30B1F" w:rsidRDefault="00591274" w:rsidP="00591274">
      <w:pPr>
        <w:pStyle w:val="NoSpacing"/>
        <w:jc w:val="both"/>
        <w:rPr>
          <w:rFonts w:eastAsia="Times New Roman"/>
          <w:bCs/>
          <w:lang w:val="en-US" w:eastAsia="en-GB"/>
        </w:rPr>
      </w:pPr>
    </w:p>
    <w:p w:rsidR="00591274" w:rsidRPr="002A3BD5" w:rsidRDefault="00591274" w:rsidP="00591274">
      <w:pPr>
        <w:pStyle w:val="NoSpacing"/>
        <w:jc w:val="both"/>
        <w:rPr>
          <w:rFonts w:eastAsia="Times New Roman"/>
          <w:b/>
          <w:lang w:eastAsia="en-GB"/>
        </w:rPr>
      </w:pPr>
      <w:r w:rsidRPr="002A3BD5">
        <w:rPr>
          <w:rFonts w:eastAsia="Times New Roman"/>
          <w:b/>
          <w:bCs/>
          <w:lang w:val="en-US" w:eastAsia="en-GB"/>
        </w:rPr>
        <w:t xml:space="preserve">Goal </w:t>
      </w:r>
      <w:r w:rsidR="008F0481" w:rsidRPr="002A3BD5">
        <w:rPr>
          <w:rFonts w:eastAsia="Times New Roman"/>
          <w:b/>
          <w:bCs/>
          <w:lang w:val="en-US" w:eastAsia="en-GB"/>
        </w:rPr>
        <w:t>3</w:t>
      </w:r>
      <w:r w:rsidRPr="002A3BD5">
        <w:rPr>
          <w:rFonts w:eastAsia="Times New Roman"/>
          <w:b/>
          <w:bCs/>
          <w:lang w:val="en-US" w:eastAsia="en-GB"/>
        </w:rPr>
        <w:t xml:space="preserve">: </w:t>
      </w:r>
      <w:r w:rsidR="008F0481" w:rsidRPr="002A3BD5">
        <w:rPr>
          <w:rFonts w:eastAsia="Times New Roman"/>
          <w:b/>
          <w:bCs/>
          <w:lang w:val="en-US" w:eastAsia="en-GB"/>
        </w:rPr>
        <w:t>Ensure healthy lives and promote well-being for all at all ages</w:t>
      </w:r>
    </w:p>
    <w:p w:rsidR="00591274" w:rsidRPr="00B30B1F" w:rsidRDefault="00591274" w:rsidP="00591274">
      <w:pPr>
        <w:pStyle w:val="NoSpacing"/>
        <w:jc w:val="both"/>
        <w:rPr>
          <w:i/>
          <w:iCs/>
        </w:rPr>
      </w:pPr>
      <w:r w:rsidRPr="002A3BD5">
        <w:rPr>
          <w:b/>
        </w:rPr>
        <w:t xml:space="preserve">Target </w:t>
      </w:r>
      <w:r w:rsidR="008F0481" w:rsidRPr="002A3BD5">
        <w:rPr>
          <w:b/>
        </w:rPr>
        <w:t>3.8:</w:t>
      </w:r>
      <w:r w:rsidR="008F0481">
        <w:t xml:space="preserve"> </w:t>
      </w:r>
      <w:r w:rsidR="008F0481" w:rsidRPr="008F0481">
        <w:t>Achieve universal health coverage, including financial risk protection, access to quality essential health-care services and access to safe, effective, quality and affordable essential medicines and vaccines for all.</w:t>
      </w:r>
    </w:p>
    <w:p w:rsidR="00591274" w:rsidRPr="00B30B1F" w:rsidRDefault="00591274" w:rsidP="00591274">
      <w:pPr>
        <w:pStyle w:val="NoSpacing"/>
        <w:jc w:val="both"/>
        <w:rPr>
          <w:rStyle w:val="Heading1Char"/>
        </w:rPr>
      </w:pPr>
      <w:bookmarkStart w:id="2" w:name="p2"/>
    </w:p>
    <w:p w:rsidR="00591274" w:rsidRPr="002A3BD5" w:rsidRDefault="00591274" w:rsidP="00591274">
      <w:pPr>
        <w:pStyle w:val="NoSpacing"/>
        <w:jc w:val="both"/>
        <w:rPr>
          <w:rStyle w:val="Heading1Char"/>
          <w:sz w:val="24"/>
          <w:u w:val="single"/>
          <w:lang w:eastAsia="en-GB"/>
        </w:rPr>
      </w:pPr>
      <w:r w:rsidRPr="002A3BD5">
        <w:rPr>
          <w:rStyle w:val="Heading1Char"/>
          <w:sz w:val="24"/>
          <w:u w:val="single"/>
        </w:rPr>
        <w:t xml:space="preserve">Definition and Method of Computation </w:t>
      </w:r>
      <w:bookmarkEnd w:id="2"/>
    </w:p>
    <w:p w:rsidR="000D0095" w:rsidRPr="000D0095" w:rsidRDefault="009F448F" w:rsidP="009F448F">
      <w:pPr>
        <w:pStyle w:val="NoSpacing"/>
        <w:jc w:val="both"/>
        <w:rPr>
          <w:rFonts w:eastAsia="Times New Roman"/>
          <w:b/>
          <w:color w:val="1F497D"/>
          <w:u w:val="single"/>
          <w:lang w:eastAsia="en-GB"/>
        </w:rPr>
      </w:pPr>
      <w:r w:rsidRPr="00B30B1F">
        <w:rPr>
          <w:rFonts w:eastAsia="Times New Roman"/>
          <w:lang w:eastAsia="en-GB"/>
        </w:rPr>
        <w:br/>
      </w:r>
      <w:r w:rsidR="000D0095" w:rsidRPr="000D0095">
        <w:rPr>
          <w:iCs/>
        </w:rPr>
        <w:t>This indicator denotes the percentage of respondents who currently have health or medical insurance (in addition to national health insurance) and who personally purchased this insurance (% age 15+).</w:t>
      </w:r>
    </w:p>
    <w:p w:rsidR="00591274" w:rsidRPr="002A3BD5" w:rsidRDefault="00591274" w:rsidP="00591274">
      <w:pPr>
        <w:pStyle w:val="NoSpacing"/>
        <w:jc w:val="both"/>
        <w:rPr>
          <w:rStyle w:val="Heading1Char"/>
          <w:sz w:val="24"/>
          <w:u w:val="single"/>
        </w:rPr>
      </w:pPr>
      <w:r w:rsidRPr="00B30B1F">
        <w:rPr>
          <w:rFonts w:eastAsia="Times New Roman"/>
          <w:lang w:eastAsia="en-GB"/>
        </w:rPr>
        <w:br/>
      </w:r>
      <w:bookmarkStart w:id="3" w:name="p3"/>
      <w:r w:rsidRPr="002A3BD5">
        <w:rPr>
          <w:rStyle w:val="Heading1Char"/>
          <w:sz w:val="24"/>
          <w:u w:val="single"/>
        </w:rPr>
        <w:t>Rationale and Interpretation</w:t>
      </w:r>
      <w:bookmarkEnd w:id="3"/>
    </w:p>
    <w:p w:rsidR="00475E51" w:rsidRDefault="00475E51" w:rsidP="003022FA">
      <w:pPr>
        <w:pStyle w:val="NoSpacing"/>
        <w:jc w:val="both"/>
      </w:pPr>
    </w:p>
    <w:p w:rsidR="003022FA" w:rsidRDefault="008F0481" w:rsidP="003022FA">
      <w:pPr>
        <w:pStyle w:val="NoSpacing"/>
        <w:jc w:val="both"/>
      </w:pPr>
      <w:r w:rsidRPr="008F0481">
        <w:t>Low-income households are highly vulnerable to unexpected events such as illness or death of a household member, and particularly when it affects an income earner.  These kinds of shocks can wipe out savings, lead to sale of assets, or cause families to incur debt, causing some families to fall into poverty or pushing the poor deeper into poverty.  When identifying events that cause the greatest financial pain, health risks ranked above unemployment, accidents, death, and theft, when taking into consideration frequency and severity.  Given the burden of health costs as well as the effect of poor health on productivity, access to financial risk management tools such as health insurance can protect against loss through reduction of out of pocket expenses, depletion of savings, sale of assets, and increased indebtedness, and can even free families to make more productive investments.  Furthermore, it has been shown to increase the use of health services. Lack of savings accounts and health insurance contributes to the fact that 100 million people fall into poverty due to medical costs each year. According to the Global Findex, only 17% of adults in developing economies report having personally paid for health insurance, though the share is as low as 2% in low-income economies.</w:t>
      </w:r>
    </w:p>
    <w:p w:rsidR="009F448F" w:rsidRPr="00B30B1F" w:rsidRDefault="009F448F" w:rsidP="00591274">
      <w:pPr>
        <w:pStyle w:val="NoSpacing"/>
        <w:jc w:val="both"/>
        <w:rPr>
          <w:rStyle w:val="Heading1Char"/>
          <w:bCs w:val="0"/>
        </w:rPr>
      </w:pPr>
    </w:p>
    <w:p w:rsidR="00591274" w:rsidRPr="002A3BD5" w:rsidRDefault="00591274" w:rsidP="00591274">
      <w:pPr>
        <w:pStyle w:val="NoSpacing"/>
        <w:jc w:val="both"/>
        <w:rPr>
          <w:rStyle w:val="Heading1Char"/>
          <w:sz w:val="24"/>
          <w:u w:val="single"/>
        </w:rPr>
      </w:pPr>
      <w:r w:rsidRPr="002A3BD5">
        <w:rPr>
          <w:rStyle w:val="Heading1Char"/>
          <w:bCs w:val="0"/>
          <w:sz w:val="24"/>
          <w:u w:val="single"/>
        </w:rPr>
        <w:t>Sources and Data Collection</w:t>
      </w:r>
    </w:p>
    <w:p w:rsidR="00D851EE" w:rsidRDefault="00D851EE" w:rsidP="00D851EE">
      <w:pPr>
        <w:pStyle w:val="NoSpacing"/>
        <w:jc w:val="both"/>
      </w:pPr>
      <w:r w:rsidRPr="008938FC">
        <w:rPr>
          <w:b/>
        </w:rPr>
        <w:t>The Global Findex</w:t>
      </w:r>
      <w:r w:rsidRPr="008938FC">
        <w:t xml:space="preserve"> is the only global demand-side data source allowing for global and regional cross-country analysis.</w:t>
      </w:r>
      <w:r>
        <w:t xml:space="preserve"> The indicators in the 2014</w:t>
      </w:r>
      <w:r w:rsidRPr="00055323">
        <w:t xml:space="preserve"> Global Financial Inclusion (Global Findex) database are drawn from survey data covering almost 150,000 people in more than 140 econo­mies—representing more than 97 percent of the world’s population. The survey was carried out over the 2014 calendar year by Gallup, Inc. as part of its Gallup World Poll, which since 2005 has continually conducted surveys of approxi­mately 1,000 people in each of more than 160 economies and in over 140 languages, using randomly selected, nationally representative samples. The target population is the entire civilian, noninstitutionalized population age 15 and above.</w:t>
      </w:r>
    </w:p>
    <w:p w:rsidR="00D851EE" w:rsidRDefault="00D851EE" w:rsidP="00D851EE">
      <w:pPr>
        <w:pStyle w:val="NoSpacing"/>
        <w:jc w:val="both"/>
      </w:pPr>
    </w:p>
    <w:p w:rsidR="00D851EE" w:rsidRPr="00B33CA9" w:rsidRDefault="00D851EE" w:rsidP="00D851EE">
      <w:pPr>
        <w:pStyle w:val="NoSpacing"/>
        <w:jc w:val="both"/>
        <w:rPr>
          <w:rFonts w:eastAsia="Times New Roman"/>
          <w:b/>
          <w:u w:val="single"/>
          <w:lang w:eastAsia="en-GB"/>
        </w:rPr>
      </w:pPr>
      <w:r w:rsidRPr="00B33CA9">
        <w:rPr>
          <w:rFonts w:eastAsia="Times New Roman"/>
          <w:b/>
          <w:u w:val="single"/>
          <w:lang w:eastAsia="en-GB"/>
        </w:rPr>
        <w:t>Data Collection: Interview Procedure</w:t>
      </w:r>
    </w:p>
    <w:p w:rsidR="00D851EE" w:rsidRPr="00B33CA9" w:rsidRDefault="00D851EE" w:rsidP="00D851EE">
      <w:pPr>
        <w:pStyle w:val="NoSpacing"/>
        <w:jc w:val="both"/>
        <w:rPr>
          <w:rFonts w:eastAsia="Times New Roman"/>
          <w:lang w:eastAsia="en-GB"/>
        </w:rPr>
      </w:pPr>
      <w:r>
        <w:rPr>
          <w:rFonts w:eastAsia="Times New Roman"/>
          <w:lang w:eastAsia="en-GB"/>
        </w:rPr>
        <w:t xml:space="preserve"> </w:t>
      </w:r>
      <w:r w:rsidRPr="00B33CA9">
        <w:rPr>
          <w:rFonts w:eastAsia="Times New Roman"/>
          <w:lang w:eastAsia="en-GB"/>
        </w:rPr>
        <w:t xml:space="preserve">Surveys are conducted face to face in economies where telephone coverage represents less than 80 percent of the population or is the customary method­ology. In most economies the fieldwork is </w:t>
      </w:r>
      <w:r w:rsidRPr="00B33CA9">
        <w:rPr>
          <w:rFonts w:eastAsia="Times New Roman"/>
          <w:lang w:eastAsia="en-GB"/>
        </w:rPr>
        <w:lastRenderedPageBreak/>
        <w:t>completed in two to four weeks. In economies where face-to-face surveys are conducted, the first stage of sampling is the identification of primary sampling units. These units are stratified by population size, geography, or both, and clustering is achieved through one or more stages of sampling. Where population information is available, sample selection is based on probabilities proportional to population size; otherwise, simple random sampling is used. Random route procedures are used to select sampled households. Unless an outright refusal occurs, interviewers make up to three attempts to survey the sampled household. To increase the probability of contact and completion, attempts are made at different times of the day and, where possible, on different days. If an interview cannot be obtained at the initial sampled household, a simple substitution method is used. Respondents are randomly selected within the selected households by means of the Kish grid. In economies where cultural restrictions dictate gender matching, respondents are randomly selected through the Kish grid from among all eligible adults of the interviewer’s gender.</w:t>
      </w:r>
    </w:p>
    <w:p w:rsidR="00D851EE" w:rsidRPr="00B33CA9" w:rsidRDefault="00D851EE" w:rsidP="00D851EE">
      <w:pPr>
        <w:pStyle w:val="NoSpacing"/>
        <w:jc w:val="both"/>
        <w:rPr>
          <w:rFonts w:eastAsia="Times New Roman"/>
          <w:lang w:eastAsia="en-GB"/>
        </w:rPr>
      </w:pPr>
      <w:r w:rsidRPr="00B33CA9">
        <w:rPr>
          <w:rFonts w:eastAsia="Times New Roman"/>
          <w:lang w:eastAsia="en-GB"/>
        </w:rPr>
        <w:t xml:space="preserve"> </w:t>
      </w:r>
    </w:p>
    <w:p w:rsidR="00D851EE" w:rsidRDefault="00D851EE" w:rsidP="00D851EE">
      <w:pPr>
        <w:pStyle w:val="NoSpacing"/>
        <w:jc w:val="both"/>
        <w:rPr>
          <w:rFonts w:eastAsia="Times New Roman"/>
          <w:lang w:eastAsia="en-GB"/>
        </w:rPr>
      </w:pPr>
      <w:r w:rsidRPr="00B33CA9">
        <w:rPr>
          <w:rFonts w:eastAsia="Times New Roman"/>
          <w:lang w:eastAsia="en-GB"/>
        </w:rPr>
        <w:t>In economies where telephone interviewing is em­ployed, random digit dialing or a nationally representative list of phone numbers is used. In most economies where cell phone penetration is high, a dual sampling frame is used. Random selection of re­spondents is achieved by using either the latest birthday or Kish grid method. At least three attempts are made to reach a person in each house­hold, spread over different days and times of day.</w:t>
      </w:r>
    </w:p>
    <w:p w:rsidR="00591274" w:rsidRPr="00B30B1F" w:rsidRDefault="00591274" w:rsidP="00591274">
      <w:pPr>
        <w:pStyle w:val="NoSpacing"/>
        <w:jc w:val="both"/>
      </w:pPr>
    </w:p>
    <w:p w:rsidR="00591274" w:rsidRPr="00B30B1F" w:rsidRDefault="00591274" w:rsidP="00591274">
      <w:pPr>
        <w:pStyle w:val="NoSpacing"/>
        <w:jc w:val="both"/>
        <w:rPr>
          <w:rFonts w:eastAsia="Times New Roman"/>
          <w:lang w:eastAsia="en-GB"/>
        </w:rPr>
      </w:pPr>
    </w:p>
    <w:p w:rsidR="00591274" w:rsidRPr="002A3BD5" w:rsidRDefault="00591274" w:rsidP="00591274">
      <w:pPr>
        <w:pStyle w:val="NoSpacing"/>
        <w:jc w:val="both"/>
        <w:rPr>
          <w:rStyle w:val="Heading1Char"/>
          <w:sz w:val="24"/>
          <w:u w:val="single"/>
        </w:rPr>
      </w:pPr>
      <w:bookmarkStart w:id="4" w:name="p5"/>
      <w:r w:rsidRPr="002A3BD5">
        <w:rPr>
          <w:rStyle w:val="Heading1Char"/>
          <w:sz w:val="24"/>
          <w:u w:val="single"/>
        </w:rPr>
        <w:t xml:space="preserve">Disaggregation </w:t>
      </w:r>
      <w:bookmarkEnd w:id="4"/>
    </w:p>
    <w:p w:rsidR="00A96668" w:rsidRDefault="008C4E7C" w:rsidP="00591274">
      <w:pPr>
        <w:pStyle w:val="NoSpacing"/>
        <w:jc w:val="both"/>
      </w:pPr>
      <w:bookmarkStart w:id="5" w:name="p6"/>
      <w:r>
        <w:t>Data disaggregation for this</w:t>
      </w:r>
      <w:r w:rsidR="009A206A">
        <w:t xml:space="preserve"> indicator is available by sex,</w:t>
      </w:r>
      <w:r w:rsidR="00474A23">
        <w:t xml:space="preserve"> age, income </w:t>
      </w:r>
      <w:r w:rsidR="00797116">
        <w:t xml:space="preserve">level </w:t>
      </w:r>
      <w:r w:rsidR="00474A23">
        <w:t>and</w:t>
      </w:r>
      <w:r w:rsidR="009A206A">
        <w:t xml:space="preserve"> </w:t>
      </w:r>
      <w:r w:rsidR="00474A23">
        <w:t>education leve</w:t>
      </w:r>
      <w:r w:rsidR="009A206A">
        <w:t xml:space="preserve">l.  </w:t>
      </w:r>
    </w:p>
    <w:p w:rsidR="00591274" w:rsidRPr="00B30B1F" w:rsidRDefault="00591274" w:rsidP="00591274">
      <w:pPr>
        <w:pStyle w:val="NoSpacing"/>
        <w:jc w:val="both"/>
        <w:rPr>
          <w:rStyle w:val="Heading1Char"/>
        </w:rPr>
      </w:pPr>
    </w:p>
    <w:p w:rsidR="00591274" w:rsidRPr="00A72E30" w:rsidRDefault="00591274" w:rsidP="00591274">
      <w:pPr>
        <w:pStyle w:val="NoSpacing"/>
        <w:jc w:val="both"/>
        <w:rPr>
          <w:rFonts w:ascii="Cambria" w:eastAsia="SimSun" w:hAnsi="Cambria"/>
          <w:b/>
          <w:bCs/>
          <w:color w:val="365F91"/>
          <w:sz w:val="24"/>
          <w:szCs w:val="28"/>
          <w:u w:val="single"/>
          <w:lang w:eastAsia="ja-JP"/>
        </w:rPr>
      </w:pPr>
      <w:r w:rsidRPr="002A3BD5">
        <w:rPr>
          <w:rStyle w:val="Heading1Char"/>
          <w:sz w:val="24"/>
          <w:u w:val="single"/>
        </w:rPr>
        <w:t xml:space="preserve">Comments and Limitations </w:t>
      </w:r>
      <w:bookmarkEnd w:id="5"/>
    </w:p>
    <w:p w:rsidR="005711E2" w:rsidRDefault="00FC6076" w:rsidP="00591274">
      <w:pPr>
        <w:pStyle w:val="NoSpacing"/>
        <w:jc w:val="both"/>
      </w:pPr>
      <w:bookmarkStart w:id="6" w:name="p7"/>
      <w:r>
        <w:t xml:space="preserve">This indicator is already being collected and data is available for 142 countries. </w:t>
      </w:r>
    </w:p>
    <w:p w:rsidR="00123BE1" w:rsidRPr="00B30B1F" w:rsidRDefault="00123BE1" w:rsidP="00591274">
      <w:pPr>
        <w:pStyle w:val="NoSpacing"/>
        <w:jc w:val="both"/>
        <w:rPr>
          <w:rStyle w:val="Heading1Char"/>
          <w:bCs w:val="0"/>
        </w:rPr>
      </w:pPr>
    </w:p>
    <w:p w:rsidR="00591274" w:rsidRPr="002A3BD5" w:rsidRDefault="00591274" w:rsidP="00591274">
      <w:pPr>
        <w:pStyle w:val="NoSpacing"/>
        <w:jc w:val="both"/>
        <w:rPr>
          <w:rStyle w:val="Heading1Char"/>
          <w:sz w:val="24"/>
          <w:u w:val="single"/>
        </w:rPr>
      </w:pPr>
      <w:r w:rsidRPr="002A3BD5">
        <w:rPr>
          <w:rStyle w:val="Heading1Char"/>
          <w:bCs w:val="0"/>
          <w:sz w:val="24"/>
          <w:u w:val="single"/>
        </w:rPr>
        <w:t xml:space="preserve">Gender Equality Issues </w:t>
      </w:r>
      <w:bookmarkEnd w:id="6"/>
    </w:p>
    <w:p w:rsidR="00591274" w:rsidRPr="00B30B1F" w:rsidRDefault="00591274" w:rsidP="00591274">
      <w:pPr>
        <w:pStyle w:val="NoSpacing"/>
        <w:jc w:val="both"/>
        <w:rPr>
          <w:rFonts w:eastAsia="Times New Roman"/>
          <w:lang w:eastAsia="en-GB"/>
        </w:rPr>
      </w:pPr>
    </w:p>
    <w:p w:rsidR="00591274" w:rsidRPr="002A3BD5" w:rsidRDefault="00591274" w:rsidP="00591274">
      <w:pPr>
        <w:pStyle w:val="NoSpacing"/>
        <w:jc w:val="both"/>
        <w:rPr>
          <w:rStyle w:val="Heading1Char"/>
          <w:sz w:val="24"/>
          <w:u w:val="single"/>
        </w:rPr>
      </w:pPr>
      <w:bookmarkStart w:id="7" w:name="p8"/>
      <w:r w:rsidRPr="002A3BD5">
        <w:rPr>
          <w:rStyle w:val="Heading1Char"/>
          <w:sz w:val="24"/>
          <w:u w:val="single"/>
        </w:rPr>
        <w:t xml:space="preserve">Data for Global and Regional Monitoring </w:t>
      </w:r>
      <w:bookmarkEnd w:id="7"/>
    </w:p>
    <w:p w:rsidR="00B75F22" w:rsidRPr="00B30B1F" w:rsidRDefault="00B75F22" w:rsidP="00B75F22">
      <w:pPr>
        <w:pStyle w:val="NoSpacing"/>
        <w:jc w:val="both"/>
        <w:rPr>
          <w:rFonts w:eastAsia="Times New Roman"/>
          <w:lang w:eastAsia="en-GB"/>
        </w:rPr>
      </w:pPr>
      <w:r>
        <w:rPr>
          <w:rFonts w:eastAsia="Times New Roman"/>
          <w:lang w:eastAsia="en-GB"/>
        </w:rPr>
        <w:t>The World Bank</w:t>
      </w:r>
      <w:r w:rsidRPr="00B30B1F">
        <w:rPr>
          <w:rFonts w:eastAsia="Times New Roman"/>
          <w:lang w:eastAsia="en-GB"/>
        </w:rPr>
        <w:t xml:space="preserve"> is responsible for compiling this indicator at the international level</w:t>
      </w:r>
      <w:r>
        <w:rPr>
          <w:rFonts w:eastAsia="Times New Roman"/>
          <w:lang w:eastAsia="en-GB"/>
        </w:rPr>
        <w:t>.</w:t>
      </w:r>
    </w:p>
    <w:p w:rsidR="00591274" w:rsidRPr="00B30B1F" w:rsidRDefault="00591274" w:rsidP="00591274">
      <w:pPr>
        <w:pStyle w:val="NoSpacing"/>
        <w:jc w:val="both"/>
        <w:rPr>
          <w:rFonts w:eastAsia="Times New Roman"/>
          <w:lang w:eastAsia="en-GB"/>
        </w:rPr>
      </w:pPr>
    </w:p>
    <w:p w:rsidR="00591274" w:rsidRPr="002A3BD5" w:rsidRDefault="00591274" w:rsidP="00591274">
      <w:pPr>
        <w:pStyle w:val="NoSpacing"/>
        <w:jc w:val="both"/>
        <w:rPr>
          <w:rStyle w:val="Heading1Char"/>
          <w:sz w:val="24"/>
          <w:u w:val="single"/>
        </w:rPr>
      </w:pPr>
      <w:r w:rsidRPr="002A3BD5">
        <w:rPr>
          <w:rStyle w:val="Heading1Char"/>
          <w:sz w:val="24"/>
          <w:u w:val="single"/>
        </w:rPr>
        <w:t>Supplementary Information</w:t>
      </w:r>
    </w:p>
    <w:p w:rsidR="00591274" w:rsidRPr="002A3BD5" w:rsidRDefault="00591274" w:rsidP="00591274">
      <w:pPr>
        <w:pStyle w:val="NoSpacing"/>
        <w:jc w:val="both"/>
        <w:rPr>
          <w:rStyle w:val="Heading1Char"/>
          <w:sz w:val="24"/>
        </w:rPr>
      </w:pPr>
    </w:p>
    <w:p w:rsidR="00591274" w:rsidRPr="002A3BD5" w:rsidRDefault="00591274" w:rsidP="00591274">
      <w:pPr>
        <w:pStyle w:val="NoSpacing"/>
        <w:jc w:val="both"/>
        <w:rPr>
          <w:rStyle w:val="Heading1Char"/>
          <w:sz w:val="24"/>
          <w:u w:val="single"/>
        </w:rPr>
      </w:pPr>
      <w:r w:rsidRPr="002A3BD5">
        <w:rPr>
          <w:rStyle w:val="Heading1Char"/>
          <w:sz w:val="24"/>
          <w:u w:val="single"/>
        </w:rPr>
        <w:t>Examples</w:t>
      </w:r>
    </w:p>
    <w:p w:rsidR="00591274" w:rsidRPr="002A3BD5" w:rsidRDefault="00591274" w:rsidP="00591274">
      <w:pPr>
        <w:pStyle w:val="NoSpacing"/>
        <w:jc w:val="both"/>
        <w:rPr>
          <w:rStyle w:val="Heading1Char"/>
          <w:sz w:val="24"/>
        </w:rPr>
      </w:pPr>
    </w:p>
    <w:p w:rsidR="00591274" w:rsidRPr="002A3BD5" w:rsidRDefault="00591274" w:rsidP="00591274">
      <w:pPr>
        <w:pStyle w:val="NoSpacing"/>
        <w:jc w:val="both"/>
        <w:rPr>
          <w:rStyle w:val="Heading1Char"/>
          <w:sz w:val="24"/>
          <w:u w:val="single"/>
        </w:rPr>
      </w:pPr>
      <w:r w:rsidRPr="002A3BD5">
        <w:rPr>
          <w:rStyle w:val="Heading1Char"/>
          <w:sz w:val="24"/>
          <w:u w:val="single"/>
        </w:rPr>
        <w:t>References</w:t>
      </w:r>
    </w:p>
    <w:p w:rsidR="009A206A" w:rsidRPr="00B30B1F" w:rsidRDefault="00591274" w:rsidP="009A206A">
      <w:pPr>
        <w:pStyle w:val="NoSpacing"/>
        <w:jc w:val="both"/>
      </w:pPr>
      <w:r w:rsidRPr="00B30B1F">
        <w:rPr>
          <w:rFonts w:eastAsia="Times New Roman"/>
          <w:lang w:eastAsia="en-GB"/>
        </w:rPr>
        <w:br/>
      </w:r>
      <w:r w:rsidR="009A206A" w:rsidRPr="0034451B">
        <w:rPr>
          <w:rFonts w:eastAsia="Times New Roman"/>
          <w:lang w:eastAsia="en-GB"/>
        </w:rPr>
        <w:t>Asli Demirguc-Kunt, Leora Klapper, Dorothe Singer, and Peter Van Oudheusden, “The Global Findex Database 2014: Measuring Financial Inclusion around the World”. Policy Research Working Paper 7255</w:t>
      </w:r>
      <w:r w:rsidR="009A206A" w:rsidRPr="00B30B1F">
        <w:rPr>
          <w:rFonts w:eastAsia="Times New Roman"/>
          <w:lang w:eastAsia="en-GB"/>
        </w:rPr>
        <w:br/>
      </w:r>
    </w:p>
    <w:p w:rsidR="009A206A" w:rsidRDefault="009A206A" w:rsidP="009A206A">
      <w:r>
        <w:t xml:space="preserve">World Bank. </w:t>
      </w:r>
      <w:r>
        <w:rPr>
          <w:i/>
        </w:rPr>
        <w:t xml:space="preserve">Global Findex. </w:t>
      </w:r>
      <w:r>
        <w:t xml:space="preserve">Washington, DC. Internet site: </w:t>
      </w:r>
      <w:hyperlink r:id="rId5" w:history="1">
        <w:r w:rsidR="00BB604B" w:rsidRPr="00FA493F">
          <w:rPr>
            <w:rStyle w:val="Hyperlink"/>
          </w:rPr>
          <w:t>http://www.worldbank.org/en/programs/globalfindex</w:t>
        </w:r>
      </w:hyperlink>
      <w:r w:rsidR="00BB604B">
        <w:t xml:space="preserve"> </w:t>
      </w:r>
    </w:p>
    <w:p w:rsidR="00591274" w:rsidRPr="00B30B1F" w:rsidRDefault="00591274" w:rsidP="00591274">
      <w:pPr>
        <w:pStyle w:val="NoSpacing"/>
        <w:jc w:val="both"/>
      </w:pPr>
    </w:p>
    <w:p w:rsidR="00591274" w:rsidRDefault="00591274"/>
    <w:sectPr w:rsidR="005912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274"/>
    <w:rsid w:val="000D0095"/>
    <w:rsid w:val="00123BE1"/>
    <w:rsid w:val="00201EEB"/>
    <w:rsid w:val="00273FED"/>
    <w:rsid w:val="0027734D"/>
    <w:rsid w:val="002A3BD5"/>
    <w:rsid w:val="003022FA"/>
    <w:rsid w:val="00452809"/>
    <w:rsid w:val="00474A23"/>
    <w:rsid w:val="00475E51"/>
    <w:rsid w:val="004F4A77"/>
    <w:rsid w:val="005503CE"/>
    <w:rsid w:val="005711E2"/>
    <w:rsid w:val="00591274"/>
    <w:rsid w:val="00797116"/>
    <w:rsid w:val="008C4E7C"/>
    <w:rsid w:val="008F0481"/>
    <w:rsid w:val="00930A07"/>
    <w:rsid w:val="0098364B"/>
    <w:rsid w:val="009A206A"/>
    <w:rsid w:val="009E3977"/>
    <w:rsid w:val="009F448F"/>
    <w:rsid w:val="00A72E30"/>
    <w:rsid w:val="00A96668"/>
    <w:rsid w:val="00B75F22"/>
    <w:rsid w:val="00BB604B"/>
    <w:rsid w:val="00C21E76"/>
    <w:rsid w:val="00D851EE"/>
    <w:rsid w:val="00E02DE2"/>
    <w:rsid w:val="00FC60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91274"/>
    <w:pPr>
      <w:keepNext/>
      <w:keepLines/>
      <w:spacing w:before="480" w:after="0" w:line="240" w:lineRule="auto"/>
      <w:outlineLvl w:val="0"/>
    </w:pPr>
    <w:rPr>
      <w:rFonts w:ascii="Cambria" w:eastAsia="SimSun" w:hAnsi="Cambria" w:cs="Times New Roman"/>
      <w:b/>
      <w:bCs/>
      <w:color w:val="365F91"/>
      <w:sz w:val="28"/>
      <w:szCs w:val="28"/>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1274"/>
    <w:rPr>
      <w:rFonts w:ascii="Cambria" w:eastAsia="SimSun" w:hAnsi="Cambria" w:cs="Times New Roman"/>
      <w:b/>
      <w:bCs/>
      <w:color w:val="365F91"/>
      <w:sz w:val="28"/>
      <w:szCs w:val="28"/>
      <w:lang w:val="en-GB" w:eastAsia="ja-JP"/>
    </w:rPr>
  </w:style>
  <w:style w:type="character" w:styleId="Hyperlink">
    <w:name w:val="Hyperlink"/>
    <w:unhideWhenUsed/>
    <w:rsid w:val="00591274"/>
    <w:rPr>
      <w:color w:val="0000FF"/>
      <w:u w:val="single"/>
    </w:rPr>
  </w:style>
  <w:style w:type="paragraph" w:styleId="NoSpacing">
    <w:name w:val="No Spacing"/>
    <w:uiPriority w:val="1"/>
    <w:qFormat/>
    <w:rsid w:val="00591274"/>
    <w:pPr>
      <w:spacing w:after="0" w:line="240" w:lineRule="auto"/>
    </w:pPr>
    <w:rPr>
      <w:rFonts w:ascii="Calibri" w:eastAsia="Calibri" w:hAnsi="Calibri" w:cs="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91274"/>
    <w:pPr>
      <w:keepNext/>
      <w:keepLines/>
      <w:spacing w:before="480" w:after="0" w:line="240" w:lineRule="auto"/>
      <w:outlineLvl w:val="0"/>
    </w:pPr>
    <w:rPr>
      <w:rFonts w:ascii="Cambria" w:eastAsia="SimSun" w:hAnsi="Cambria" w:cs="Times New Roman"/>
      <w:b/>
      <w:bCs/>
      <w:color w:val="365F91"/>
      <w:sz w:val="28"/>
      <w:szCs w:val="28"/>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1274"/>
    <w:rPr>
      <w:rFonts w:ascii="Cambria" w:eastAsia="SimSun" w:hAnsi="Cambria" w:cs="Times New Roman"/>
      <w:b/>
      <w:bCs/>
      <w:color w:val="365F91"/>
      <w:sz w:val="28"/>
      <w:szCs w:val="28"/>
      <w:lang w:val="en-GB" w:eastAsia="ja-JP"/>
    </w:rPr>
  </w:style>
  <w:style w:type="character" w:styleId="Hyperlink">
    <w:name w:val="Hyperlink"/>
    <w:unhideWhenUsed/>
    <w:rsid w:val="00591274"/>
    <w:rPr>
      <w:color w:val="0000FF"/>
      <w:u w:val="single"/>
    </w:rPr>
  </w:style>
  <w:style w:type="paragraph" w:styleId="NoSpacing">
    <w:name w:val="No Spacing"/>
    <w:uiPriority w:val="1"/>
    <w:qFormat/>
    <w:rsid w:val="00591274"/>
    <w:pPr>
      <w:spacing w:after="0" w:line="240" w:lineRule="auto"/>
    </w:pPr>
    <w:rPr>
      <w:rFonts w:ascii="Calibri" w:eastAsia="Calibri"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worldbank.org/en/programs/globalfinde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812</Words>
  <Characters>4635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Darah Aljoudar</dc:creator>
  <cp:lastModifiedBy>Benjamin Rae</cp:lastModifiedBy>
  <cp:revision>2</cp:revision>
  <dcterms:created xsi:type="dcterms:W3CDTF">2015-05-18T16:35:00Z</dcterms:created>
  <dcterms:modified xsi:type="dcterms:W3CDTF">2015-05-18T16:35:00Z</dcterms:modified>
</cp:coreProperties>
</file>